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E" w:rsidRDefault="005C718E" w:rsidP="005C718E">
      <w:pPr>
        <w:pStyle w:val="podtytul1"/>
      </w:pPr>
      <w:r>
        <w:t>Włodzimierz Mokry</w:t>
      </w:r>
    </w:p>
    <w:p w:rsidR="005C718E" w:rsidRDefault="005C718E" w:rsidP="005C718E">
      <w:pPr>
        <w:pStyle w:val="mtytul"/>
        <w:rPr>
          <w:b/>
          <w:bCs/>
        </w:rPr>
      </w:pPr>
      <w:r>
        <w:rPr>
          <w:b/>
          <w:bCs/>
        </w:rPr>
        <w:t xml:space="preserve">Drugi międzynarodowy Kongres </w:t>
      </w:r>
      <w:proofErr w:type="spellStart"/>
      <w:r>
        <w:rPr>
          <w:b/>
          <w:bCs/>
        </w:rPr>
        <w:t>Ukrainistów</w:t>
      </w:r>
      <w:proofErr w:type="spellEnd"/>
      <w:r>
        <w:rPr>
          <w:b/>
          <w:bCs/>
        </w:rPr>
        <w:t xml:space="preserve"> we Lwowie 22–28 sierpnia 1993 roku</w:t>
      </w:r>
    </w:p>
    <w:p w:rsidR="005C718E" w:rsidRDefault="005C718E" w:rsidP="005C718E">
      <w:pPr>
        <w:pStyle w:val="akapi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[…]</w:t>
      </w:r>
    </w:p>
    <w:p w:rsidR="005C718E" w:rsidRDefault="005C718E" w:rsidP="005C718E">
      <w:pPr>
        <w:pStyle w:val="akapit"/>
        <w:rPr>
          <w:spacing w:val="-2"/>
          <w:sz w:val="20"/>
          <w:szCs w:val="20"/>
        </w:rPr>
      </w:pPr>
    </w:p>
    <w:p w:rsidR="005C718E" w:rsidRDefault="005C718E" w:rsidP="005C718E">
      <w:pPr>
        <w:pStyle w:val="akapi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Problem języka, jego historii i zagrożenia podjął m.in. prof. </w:t>
      </w:r>
      <w:proofErr w:type="spellStart"/>
      <w:r>
        <w:rPr>
          <w:spacing w:val="-2"/>
          <w:sz w:val="20"/>
          <w:szCs w:val="20"/>
        </w:rPr>
        <w:t>Ołeksandr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Horbacz</w:t>
      </w:r>
      <w:proofErr w:type="spellEnd"/>
      <w:r>
        <w:rPr>
          <w:spacing w:val="-2"/>
          <w:sz w:val="20"/>
          <w:szCs w:val="20"/>
        </w:rPr>
        <w:t xml:space="preserve"> z Monachium oraz prof. Jurij </w:t>
      </w:r>
      <w:proofErr w:type="spellStart"/>
      <w:r>
        <w:rPr>
          <w:spacing w:val="-2"/>
          <w:sz w:val="20"/>
          <w:szCs w:val="20"/>
        </w:rPr>
        <w:t>Szewelow</w:t>
      </w:r>
      <w:proofErr w:type="spellEnd"/>
      <w:r>
        <w:rPr>
          <w:spacing w:val="-2"/>
          <w:sz w:val="20"/>
          <w:szCs w:val="20"/>
        </w:rPr>
        <w:t xml:space="preserve"> z Nowego Jorku, którego wykład, zaplanowany w sekcji, przerodził się w posiedzenie plenarne, skupiające wszystkich uczestników Kongresu w Auli Uniwersytetu im. Iwana Franki, mieszczącego się w byłym Sejmie Galicyjskim. Profesor J. </w:t>
      </w:r>
      <w:proofErr w:type="spellStart"/>
      <w:r>
        <w:rPr>
          <w:spacing w:val="-2"/>
          <w:sz w:val="20"/>
          <w:szCs w:val="20"/>
        </w:rPr>
        <w:t>Szewelow</w:t>
      </w:r>
      <w:proofErr w:type="spellEnd"/>
      <w:r>
        <w:rPr>
          <w:spacing w:val="-2"/>
          <w:sz w:val="20"/>
          <w:szCs w:val="20"/>
        </w:rPr>
        <w:t xml:space="preserve"> z godną podziwu znajomością źródeł, dowodził jak uczeni rosyjscy wspierali twórców teorii „</w:t>
      </w:r>
      <w:proofErr w:type="spellStart"/>
      <w:r>
        <w:rPr>
          <w:spacing w:val="-2"/>
          <w:sz w:val="20"/>
          <w:szCs w:val="20"/>
        </w:rPr>
        <w:t>wielikoj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niedielimoj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Rosiji</w:t>
      </w:r>
      <w:proofErr w:type="spellEnd"/>
      <w:r>
        <w:rPr>
          <w:spacing w:val="-2"/>
          <w:sz w:val="20"/>
          <w:szCs w:val="20"/>
        </w:rPr>
        <w:t>”. Np. pojęcie „</w:t>
      </w:r>
      <w:proofErr w:type="spellStart"/>
      <w:r>
        <w:rPr>
          <w:spacing w:val="-2"/>
          <w:sz w:val="20"/>
          <w:szCs w:val="20"/>
        </w:rPr>
        <w:t>obszczerusski</w:t>
      </w:r>
      <w:proofErr w:type="spellEnd"/>
      <w:r>
        <w:rPr>
          <w:spacing w:val="-2"/>
          <w:sz w:val="20"/>
          <w:szCs w:val="20"/>
        </w:rPr>
        <w:t>”, tj. „</w:t>
      </w:r>
      <w:proofErr w:type="spellStart"/>
      <w:r>
        <w:rPr>
          <w:spacing w:val="-2"/>
          <w:sz w:val="20"/>
          <w:szCs w:val="20"/>
        </w:rPr>
        <w:t>ogólnorosyjski</w:t>
      </w:r>
      <w:proofErr w:type="spellEnd"/>
      <w:r>
        <w:rPr>
          <w:spacing w:val="-2"/>
          <w:sz w:val="20"/>
          <w:szCs w:val="20"/>
        </w:rPr>
        <w:t xml:space="preserve">”, które – zdaniem Jurija </w:t>
      </w:r>
      <w:proofErr w:type="spellStart"/>
      <w:r>
        <w:rPr>
          <w:spacing w:val="-2"/>
          <w:sz w:val="20"/>
          <w:szCs w:val="20"/>
        </w:rPr>
        <w:t>Szewelowa</w:t>
      </w:r>
      <w:proofErr w:type="spellEnd"/>
      <w:r>
        <w:rPr>
          <w:spacing w:val="-2"/>
          <w:sz w:val="20"/>
          <w:szCs w:val="20"/>
        </w:rPr>
        <w:t xml:space="preserve"> – w ogóle nie istnieje, zaczęto używać w takich kontekstach: „Kijew – </w:t>
      </w:r>
      <w:proofErr w:type="spellStart"/>
      <w:r>
        <w:rPr>
          <w:spacing w:val="-2"/>
          <w:sz w:val="20"/>
          <w:szCs w:val="20"/>
        </w:rPr>
        <w:t>obszczerusskoj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swiatyniej</w:t>
      </w:r>
      <w:proofErr w:type="spellEnd"/>
      <w:r>
        <w:rPr>
          <w:spacing w:val="-2"/>
          <w:sz w:val="20"/>
          <w:szCs w:val="20"/>
        </w:rPr>
        <w:t>”, tj. „</w:t>
      </w:r>
      <w:proofErr w:type="spellStart"/>
      <w:r>
        <w:rPr>
          <w:spacing w:val="-2"/>
          <w:sz w:val="20"/>
          <w:szCs w:val="20"/>
        </w:rPr>
        <w:t>ogólno-powszechnoruską</w:t>
      </w:r>
      <w:proofErr w:type="spellEnd"/>
      <w:r>
        <w:rPr>
          <w:spacing w:val="-2"/>
          <w:sz w:val="20"/>
          <w:szCs w:val="20"/>
        </w:rPr>
        <w:t xml:space="preserve"> świątynią”, z „</w:t>
      </w:r>
      <w:proofErr w:type="spellStart"/>
      <w:r>
        <w:rPr>
          <w:spacing w:val="-2"/>
          <w:sz w:val="20"/>
          <w:szCs w:val="20"/>
        </w:rPr>
        <w:t>ogólnoruskim</w:t>
      </w:r>
      <w:proofErr w:type="spellEnd"/>
      <w:r>
        <w:rPr>
          <w:spacing w:val="-2"/>
          <w:sz w:val="20"/>
          <w:szCs w:val="20"/>
        </w:rPr>
        <w:t xml:space="preserve"> carem” (dokumenty z 1875 roku). Następnie zaczęto używać pojęcia „</w:t>
      </w:r>
      <w:proofErr w:type="spellStart"/>
      <w:r>
        <w:rPr>
          <w:spacing w:val="-2"/>
          <w:sz w:val="20"/>
          <w:szCs w:val="20"/>
        </w:rPr>
        <w:t>obszczerusskij</w:t>
      </w:r>
      <w:proofErr w:type="spellEnd"/>
      <w:r>
        <w:rPr>
          <w:spacing w:val="-2"/>
          <w:sz w:val="20"/>
          <w:szCs w:val="20"/>
        </w:rPr>
        <w:t>” w znaczeniu „</w:t>
      </w:r>
      <w:proofErr w:type="spellStart"/>
      <w:r>
        <w:rPr>
          <w:spacing w:val="-2"/>
          <w:sz w:val="20"/>
          <w:szCs w:val="20"/>
        </w:rPr>
        <w:t>wsierossijskij</w:t>
      </w:r>
      <w:proofErr w:type="spellEnd"/>
      <w:r>
        <w:rPr>
          <w:spacing w:val="-2"/>
          <w:sz w:val="20"/>
          <w:szCs w:val="20"/>
        </w:rPr>
        <w:t>”, np. w kontekście – „</w:t>
      </w:r>
      <w:proofErr w:type="spellStart"/>
      <w:r>
        <w:rPr>
          <w:spacing w:val="-2"/>
          <w:sz w:val="20"/>
          <w:szCs w:val="20"/>
        </w:rPr>
        <w:t>obszczerusskaja</w:t>
      </w:r>
      <w:proofErr w:type="spellEnd"/>
      <w:r>
        <w:rPr>
          <w:spacing w:val="-2"/>
          <w:sz w:val="20"/>
          <w:szCs w:val="20"/>
        </w:rPr>
        <w:t xml:space="preserve"> kultura i </w:t>
      </w:r>
      <w:proofErr w:type="spellStart"/>
      <w:r>
        <w:rPr>
          <w:spacing w:val="-2"/>
          <w:sz w:val="20"/>
          <w:szCs w:val="20"/>
        </w:rPr>
        <w:t>ukrainskij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partykularizm</w:t>
      </w:r>
      <w:proofErr w:type="spellEnd"/>
      <w:r>
        <w:rPr>
          <w:spacing w:val="-2"/>
          <w:sz w:val="20"/>
          <w:szCs w:val="20"/>
        </w:rPr>
        <w:t xml:space="preserve">”, lub „wsie </w:t>
      </w:r>
      <w:proofErr w:type="spellStart"/>
      <w:r>
        <w:rPr>
          <w:spacing w:val="-2"/>
          <w:sz w:val="20"/>
          <w:szCs w:val="20"/>
        </w:rPr>
        <w:t>sowriemiennyje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russkije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jazyki</w:t>
      </w:r>
      <w:proofErr w:type="spellEnd"/>
      <w:r>
        <w:rPr>
          <w:spacing w:val="-2"/>
          <w:sz w:val="20"/>
          <w:szCs w:val="20"/>
        </w:rPr>
        <w:t>”, tj. „wszystkie współczesne języki rosyjskie”, by z czasem zastąpić to sformułowanie pojęciem „</w:t>
      </w:r>
      <w:proofErr w:type="spellStart"/>
      <w:r>
        <w:rPr>
          <w:spacing w:val="-2"/>
          <w:sz w:val="20"/>
          <w:szCs w:val="20"/>
        </w:rPr>
        <w:t>obszczenarodnyj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russkij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jazyk</w:t>
      </w:r>
      <w:proofErr w:type="spellEnd"/>
      <w:r>
        <w:rPr>
          <w:spacing w:val="-2"/>
          <w:sz w:val="20"/>
          <w:szCs w:val="20"/>
        </w:rPr>
        <w:t xml:space="preserve">”, czyli ogólnonarodowy język rosyjski. Wszystkie te językowo-polityczne spekulacje miały z czasem służyć nie tylko tworzeniu zakazów administracyjnych dla hamowania rozwoju ukraińskiego języka literackiego i kultury narodowej Ukraińców, a nawet doprowadziły do zakazu używania nazwy Ukraina, która miała się nazywać </w:t>
      </w:r>
      <w:proofErr w:type="spellStart"/>
      <w:r>
        <w:rPr>
          <w:spacing w:val="-2"/>
          <w:sz w:val="20"/>
          <w:szCs w:val="20"/>
        </w:rPr>
        <w:t>Małorosją</w:t>
      </w:r>
      <w:proofErr w:type="spellEnd"/>
      <w:r>
        <w:rPr>
          <w:spacing w:val="-2"/>
          <w:sz w:val="20"/>
          <w:szCs w:val="20"/>
        </w:rPr>
        <w:t xml:space="preserve"> co nakazywał ukaz emski z 1876 roku. Cała ta polityczna ideologia doprowadziła władze imperium do wniosku, że czas zakazów minął. Odtąd władze carskie uznały, że za wyjątkiem kultury polskiej i fińskiej, której rozwój ograniczano, wszystkim pozostałym narodom podległym Moskwie nie należało zabraniać wydawania literatury w języku ojczystym, lecz kompromitować te kultury i narody, gdyż – w odczuciu władz . były to już te czasy, kiedy „</w:t>
      </w:r>
      <w:proofErr w:type="spellStart"/>
      <w:r>
        <w:rPr>
          <w:spacing w:val="-2"/>
          <w:sz w:val="20"/>
          <w:szCs w:val="20"/>
        </w:rPr>
        <w:t>obszczeruskije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idieji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zapachły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nacze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moszczi</w:t>
      </w:r>
      <w:proofErr w:type="spellEnd"/>
      <w:r>
        <w:rPr>
          <w:spacing w:val="-2"/>
          <w:sz w:val="20"/>
          <w:szCs w:val="20"/>
        </w:rPr>
        <w:t xml:space="preserve">” (tj. wszechrosyjskie idee zapachniały jak relikwie) – jak zauważył poeta ukraiński </w:t>
      </w:r>
      <w:proofErr w:type="spellStart"/>
      <w:r>
        <w:rPr>
          <w:spacing w:val="-2"/>
          <w:sz w:val="20"/>
          <w:szCs w:val="20"/>
        </w:rPr>
        <w:t>Pawło</w:t>
      </w:r>
      <w:proofErr w:type="spellEnd"/>
      <w:r>
        <w:rPr>
          <w:spacing w:val="-2"/>
          <w:sz w:val="20"/>
          <w:szCs w:val="20"/>
        </w:rPr>
        <w:t xml:space="preserve"> Tyczyna. Jak z tego zatem wynika, do podobnych „historycznych tradycji” nawiązywali najpierw wydawcy słownika „</w:t>
      </w:r>
      <w:proofErr w:type="spellStart"/>
      <w:r>
        <w:rPr>
          <w:spacing w:val="-2"/>
          <w:sz w:val="20"/>
          <w:szCs w:val="20"/>
        </w:rPr>
        <w:t>russkogo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jazyka</w:t>
      </w:r>
      <w:proofErr w:type="spellEnd"/>
      <w:r>
        <w:rPr>
          <w:spacing w:val="-2"/>
          <w:sz w:val="20"/>
          <w:szCs w:val="20"/>
        </w:rPr>
        <w:t xml:space="preserve"> XI–XIX”, a następnie zwolennicy ponownego zlania słowiańskich narodów byłego ZSRR w tzw. „Federację państw rosyjskich”, jak chce tego większość Rosjan na czele z Aleksandrem Sołżenicynem. Żywym przykładem takiego właśnie myślenia dużej części Rosjan, którzy wychodzą z założenia, że nie muszą ani studiować dramatycznej historii stosunków ukraińsko-rosyjskich, ani przeanalizować bilansu stosunku Rosji do „</w:t>
      </w:r>
      <w:proofErr w:type="spellStart"/>
      <w:r>
        <w:rPr>
          <w:spacing w:val="-2"/>
          <w:sz w:val="20"/>
          <w:szCs w:val="20"/>
        </w:rPr>
        <w:t>Małorosji</w:t>
      </w:r>
      <w:proofErr w:type="spellEnd"/>
      <w:r>
        <w:rPr>
          <w:spacing w:val="-2"/>
          <w:sz w:val="20"/>
          <w:szCs w:val="20"/>
        </w:rPr>
        <w:t xml:space="preserve">”, stał się referat </w:t>
      </w:r>
      <w:proofErr w:type="spellStart"/>
      <w:r>
        <w:rPr>
          <w:spacing w:val="-2"/>
          <w:sz w:val="20"/>
          <w:szCs w:val="20"/>
        </w:rPr>
        <w:t>ukrainisty</w:t>
      </w:r>
      <w:proofErr w:type="spellEnd"/>
      <w:r>
        <w:rPr>
          <w:spacing w:val="-2"/>
          <w:sz w:val="20"/>
          <w:szCs w:val="20"/>
        </w:rPr>
        <w:t xml:space="preserve"> rosyjskiego z Moskwy prof. Wołkowa. Jego wystąpienie podczas uroczystego otwarcia Kongresu nie mogło nie wywołać powszechnej dezaprobaty, okazywanej uderzaniem w pulpity, tupaniem i </w:t>
      </w:r>
      <w:proofErr w:type="spellStart"/>
      <w:r>
        <w:rPr>
          <w:spacing w:val="-2"/>
          <w:sz w:val="20"/>
          <w:szCs w:val="20"/>
        </w:rPr>
        <w:t>wyhukiwaniami</w:t>
      </w:r>
      <w:proofErr w:type="spellEnd"/>
      <w:r>
        <w:rPr>
          <w:spacing w:val="-2"/>
          <w:sz w:val="20"/>
          <w:szCs w:val="20"/>
        </w:rPr>
        <w:t xml:space="preserve">, zwłaszcza we Lwowie, jeżeli zmierzało ono do zakwestionowania wszelkich, rzekomo „bezpodstawnych pomówień” o dominację na Ukrainie. Zupełnie niezrażony powszechnym sprzeciwem mówca moskiewski zakończył swój wywód wypowiedzianą mentorskim tonem konkluzją że wszyscy znawcy stosunków ukraińsko-rosyjskich dopiero wtedy „właściwie ocenią” dzieje oraz istotę współżycia Ukrainy i Rosji, kiedy zrozumieją że zarówno na płaszczyźnie naukowej, kulturalnej, a zwłaszcza ekonomiczno-gospodarczej „Ukraina i Rosja są zmuszone do współżycia, gdyż są zrośnięte wspólną piersią i głowami niczym siostry syjamskie”. </w:t>
      </w:r>
    </w:p>
    <w:p w:rsidR="00C61D5C" w:rsidRDefault="00C61D5C"/>
    <w:p w:rsidR="005C718E" w:rsidRDefault="005C718E">
      <w:r>
        <w:t>[…]</w:t>
      </w:r>
    </w:p>
    <w:p w:rsidR="00B26014" w:rsidRDefault="00B26014"/>
    <w:p w:rsidR="00B26014" w:rsidRDefault="00B26014"/>
    <w:p w:rsidR="00B26014" w:rsidRDefault="00B26014"/>
    <w:p w:rsidR="00B26014" w:rsidRDefault="00B26014"/>
    <w:p w:rsidR="00B26014" w:rsidRDefault="00B26014"/>
    <w:p w:rsidR="00B26014" w:rsidRDefault="00B26014"/>
    <w:p w:rsidR="00B26014" w:rsidRDefault="00B26014"/>
    <w:p w:rsidR="00B26014" w:rsidRPr="00B26014" w:rsidRDefault="00B26014" w:rsidP="00B26014">
      <w:pPr>
        <w:suppressAutoHyphens/>
        <w:autoSpaceDE w:val="0"/>
        <w:autoSpaceDN w:val="0"/>
        <w:adjustRightInd w:val="0"/>
        <w:spacing w:before="454" w:after="227" w:line="280" w:lineRule="atLeast"/>
        <w:textAlignment w:val="center"/>
        <w:rPr>
          <w:rFonts w:ascii="Garamond Premr Pro" w:hAnsi="Garamond Premr Pro" w:cs="Garamond Premr Pro"/>
          <w:color w:val="000000"/>
          <w:sz w:val="24"/>
          <w:szCs w:val="24"/>
        </w:rPr>
      </w:pPr>
      <w:r w:rsidRPr="00B26014">
        <w:rPr>
          <w:rFonts w:ascii="Garamond Premr Pro" w:hAnsi="Garamond Premr Pro" w:cs="Garamond Premr Pro"/>
          <w:color w:val="000000"/>
          <w:sz w:val="24"/>
          <w:szCs w:val="24"/>
        </w:rPr>
        <w:t xml:space="preserve">Włodzimierz Mokry </w:t>
      </w:r>
    </w:p>
    <w:p w:rsidR="00B26014" w:rsidRPr="00B26014" w:rsidRDefault="00B26014" w:rsidP="00B26014">
      <w:pPr>
        <w:suppressAutoHyphens/>
        <w:autoSpaceDE w:val="0"/>
        <w:autoSpaceDN w:val="0"/>
        <w:adjustRightInd w:val="0"/>
        <w:spacing w:after="1134" w:line="360" w:lineRule="atLeast"/>
        <w:jc w:val="center"/>
        <w:textAlignment w:val="center"/>
        <w:rPr>
          <w:rFonts w:ascii="Zurich Cn L2" w:hAnsi="Zurich Cn L2" w:cs="Zurich Cn L2"/>
          <w:color w:val="000000"/>
          <w:sz w:val="28"/>
          <w:szCs w:val="28"/>
        </w:rPr>
      </w:pPr>
      <w:r w:rsidRPr="00B26014">
        <w:rPr>
          <w:rFonts w:ascii="Zurich Cn L2" w:hAnsi="Zurich Cn L2" w:cs="Zurich Cn L2"/>
          <w:color w:val="000000"/>
          <w:sz w:val="28"/>
          <w:szCs w:val="28"/>
        </w:rPr>
        <w:t>Aleksander Hercen – samotny rzecznik praw narodu ukraińskiego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>...Na szczególną uwagę zasługuje przywołanie nieznanego współczesnym elitom rosyjskim, a także polskim, stosunku Aleksandra Hercena do niepodległościowej idei ukraińskiej, zawartego w ocenie czynu Mazepy.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>W liście pt. „Rosja i Polska” w londyńskim dwutygodniku „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Kołokoł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>” 1859/34 Hercen pisał: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>„Chmielnicki nie z miłości do Moskwy, lecz z nieprzyjaźni do Polski oddał się carowi. Moskwa czy dokładniej Petersburg oszukały Ukrainę i skłoniły ją do nienawidzenia Moskali...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>...Według mnie, problem rozwiązuje się bardzo prosto. Ukrainę należy w takiej sytuacji uznać wolnym i niezależnym państwem...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>...Rozwiążmy im ręce, rozwiążmy im język, niechaj mowa ich będzie w pełni wolna, i wtedy wypowiedzą oni swoje słowo, przekroczą przez knut.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 xml:space="preserve">Ale właśnie lęk przed taką wolnością słowa, która mogła doprowadzić do oderwania się Ukrainy od imperium rosyjskiego, wzmagał rusyfikację, i skłaniał oficjalne elity i władze rosyjskie do traktowania języka ukraińskiego jako narzecza języka rosyjskiego, a Ukraińców jako gałęzi narodu wielkorosyjskiego. Prowadzona za pomocą administracyjnych zaleceń i zakazów rządowych rusyfikacja znalazła wsparcie oraz argumentację ideową ze strony przedstawicieli rosyjskiej nauki i kultury. Ideologami rusyfikacji stali się nawet tacy głośni pisarze krytycy, jak Michał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Pogodin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 i 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Wisarion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 Bieliński, który nie uznawszy twórczości właściwego twórcy nowożytnego języka ukraińskiego T. Szewczenki – uzasadniając brak perspektywy dla rozwoju języka i narodu ukraińskiego m.in. pisał o Ukrainie, już wtedy nazywanej prowincją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Wielkorosji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 –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Małorosją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>: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 xml:space="preserve">„Historia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Małorosji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 jest dopływem, który wpadł do wielkiej rzeki historii Rosji...”</w:t>
      </w:r>
    </w:p>
    <w:p w:rsidR="00B26014" w:rsidRPr="00B26014" w:rsidRDefault="00B26014" w:rsidP="00B2601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Garamond Premr Pro" w:hAnsi="Garamond Premr Pro" w:cs="Garamond Premr Pro"/>
          <w:color w:val="000000"/>
          <w:spacing w:val="4"/>
        </w:rPr>
      </w:pPr>
      <w:r w:rsidRPr="00B26014">
        <w:rPr>
          <w:rFonts w:ascii="Garamond Premr Pro" w:hAnsi="Garamond Premr Pro" w:cs="Garamond Premr Pro"/>
          <w:color w:val="000000"/>
          <w:spacing w:val="4"/>
        </w:rPr>
        <w:t xml:space="preserve">Niestety, kulturalne elity rosyjskie i to na czele z takimi postaciami jak Dymitr Lichaczow, Aleksander Sołżenicyn czy Aleksander Zamiatin, w swych reakcjach na tym razem już praktycznie realizowaną ideę niepodległościową na Ukrainie, nawiązują do nieuznającej niepodległości Ukrainy argumentacji w stylu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Wisariona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 Bielińskiego, a nie jak chciał tego osamotniony do dziś demokrata rosyjski Aleksander Hercen.</w:t>
      </w:r>
    </w:p>
    <w:p w:rsidR="00B26014" w:rsidRDefault="00B26014" w:rsidP="00B26014">
      <w:pPr>
        <w:ind w:firstLine="283"/>
        <w:jc w:val="both"/>
        <w:rPr>
          <w:rFonts w:ascii="Garamond Premr Pro" w:hAnsi="Garamond Premr Pro" w:cs="Garamond Premr Pro"/>
          <w:color w:val="000000"/>
          <w:spacing w:val="4"/>
        </w:rPr>
      </w:pPr>
      <w:bookmarkStart w:id="0" w:name="_GoBack"/>
      <w:bookmarkEnd w:id="0"/>
      <w:r w:rsidRPr="00B26014">
        <w:rPr>
          <w:rFonts w:ascii="Garamond Premr Pro" w:hAnsi="Garamond Premr Pro" w:cs="Garamond Premr Pro"/>
          <w:color w:val="000000"/>
          <w:spacing w:val="4"/>
        </w:rPr>
        <w:t xml:space="preserve">Zarysowany tu lub niekiedy jedynie zasygnalizowany problem stosunku polskich i rosyjskich elit kulturalnych do niepodległościowej idei ukraińskiej przyczyni się być może do zainteresowania tą problematyką dalszych badaczy slawistów, nie tylko polskich i ukraińskich, ale przede wszystkim rosyjskich. Do najbardziej bowiem palących problemów, wymagających spokojnej analizy naukowej, urastają dziś nie tylko wciąż niełatwe stosunki polsko-ukraińskie, lecz przede wszystkim ukraińsko-rosyjskie, włącznie z trudną do zaakceptowania i zrozumienia przez Rosjan, a żywotną wśród Ukraińców, ideą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mazepiańską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, oznaczają dążenia do pełnej odbudowy </w:t>
      </w:r>
      <w:proofErr w:type="spellStart"/>
      <w:r w:rsidRPr="00B26014">
        <w:rPr>
          <w:rFonts w:ascii="Garamond Premr Pro" w:hAnsi="Garamond Premr Pro" w:cs="Garamond Premr Pro"/>
          <w:color w:val="000000"/>
          <w:spacing w:val="4"/>
        </w:rPr>
        <w:t>sobornej</w:t>
      </w:r>
      <w:proofErr w:type="spellEnd"/>
      <w:r w:rsidRPr="00B26014">
        <w:rPr>
          <w:rFonts w:ascii="Garamond Premr Pro" w:hAnsi="Garamond Premr Pro" w:cs="Garamond Premr Pro"/>
          <w:color w:val="000000"/>
          <w:spacing w:val="4"/>
        </w:rPr>
        <w:t xml:space="preserve"> i niezależnej Ukrainy, rozwijającej dobrosąsiedzkie i partnerskie stosunki ze swymi wschodnimi sąsiadami – niepodległą i demokratyczną Rosją i Rzecząpospolitą Polską, z myślą o wspólnym dobru wszystkich trzech i każdego z osobna niepodległych państw i narodów Środkowowschodniej Europy. </w:t>
      </w:r>
    </w:p>
    <w:p w:rsidR="00B26014" w:rsidRDefault="00B26014" w:rsidP="00B26014">
      <w:pPr>
        <w:jc w:val="both"/>
        <w:rPr>
          <w:rFonts w:ascii="Garamond Premr Pro" w:hAnsi="Garamond Premr Pro" w:cs="Garamond Premr Pro"/>
          <w:color w:val="000000"/>
          <w:spacing w:val="4"/>
        </w:rPr>
      </w:pPr>
    </w:p>
    <w:p w:rsidR="00B26014" w:rsidRDefault="00B26014" w:rsidP="00B26014">
      <w:pPr>
        <w:jc w:val="both"/>
        <w:rPr>
          <w:rFonts w:ascii="Garamond Premr Pro" w:hAnsi="Garamond Premr Pro" w:cs="Garamond Premr Pro"/>
          <w:color w:val="000000"/>
          <w:spacing w:val="4"/>
        </w:rPr>
      </w:pPr>
    </w:p>
    <w:p w:rsidR="00B26014" w:rsidRDefault="00B26014" w:rsidP="00B26014">
      <w:pPr>
        <w:jc w:val="both"/>
      </w:pPr>
      <w:r w:rsidRPr="00B26014">
        <w:rPr>
          <w:rFonts w:ascii="Garamond Premr Pro" w:hAnsi="Garamond Premr Pro" w:cs="Garamond Premr Pro"/>
          <w:color w:val="000000"/>
          <w:spacing w:val="4"/>
        </w:rPr>
        <w:t xml:space="preserve">(W. Mokry, </w:t>
      </w:r>
      <w:r w:rsidRPr="00B26014">
        <w:rPr>
          <w:rFonts w:ascii="Garamond Premr Pro" w:hAnsi="Garamond Premr Pro" w:cs="Garamond Premr Pro"/>
          <w:i/>
          <w:iCs/>
          <w:color w:val="000000"/>
          <w:spacing w:val="4"/>
        </w:rPr>
        <w:t>Elity polskie i rosyjskie wobec Ukrainy</w:t>
      </w:r>
      <w:r w:rsidRPr="00B26014">
        <w:rPr>
          <w:rFonts w:ascii="Garamond Premr Pro" w:hAnsi="Garamond Premr Pro" w:cs="Garamond Premr Pro"/>
          <w:color w:val="000000"/>
          <w:spacing w:val="4"/>
        </w:rPr>
        <w:t>, „Krasnogruda”, 1994, nr 2–3, s. 191–193.)</w:t>
      </w:r>
    </w:p>
    <w:sectPr w:rsidR="00B26014" w:rsidSect="00E87D1A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Zurich Cn L2">
    <w:panose1 w:val="020B050602020204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8E"/>
    <w:rsid w:val="005C718E"/>
    <w:rsid w:val="00B26014"/>
    <w:rsid w:val="00C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uiPriority w:val="99"/>
    <w:rsid w:val="005C718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Garamond Premr Pro" w:hAnsi="Garamond Premr Pro" w:cs="Garamond Premr Pro"/>
      <w:color w:val="000000"/>
      <w:spacing w:val="4"/>
    </w:rPr>
  </w:style>
  <w:style w:type="paragraph" w:customStyle="1" w:styleId="podtytul1">
    <w:name w:val="podtytul_1"/>
    <w:basedOn w:val="Normalny"/>
    <w:uiPriority w:val="99"/>
    <w:rsid w:val="005C718E"/>
    <w:pPr>
      <w:suppressAutoHyphens/>
      <w:autoSpaceDE w:val="0"/>
      <w:autoSpaceDN w:val="0"/>
      <w:adjustRightInd w:val="0"/>
      <w:spacing w:before="454" w:after="227" w:line="280" w:lineRule="atLeast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mtytul">
    <w:name w:val="m_tytul"/>
    <w:basedOn w:val="Normalny"/>
    <w:uiPriority w:val="99"/>
    <w:rsid w:val="005C718E"/>
    <w:pPr>
      <w:suppressAutoHyphens/>
      <w:autoSpaceDE w:val="0"/>
      <w:autoSpaceDN w:val="0"/>
      <w:adjustRightInd w:val="0"/>
      <w:spacing w:after="1134" w:line="360" w:lineRule="atLeast"/>
      <w:jc w:val="center"/>
      <w:textAlignment w:val="center"/>
    </w:pPr>
    <w:rPr>
      <w:rFonts w:ascii="Zurich Cn L2" w:hAnsi="Zurich Cn L2" w:cs="Zurich Cn L2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uiPriority w:val="99"/>
    <w:rsid w:val="005C718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Garamond Premr Pro" w:hAnsi="Garamond Premr Pro" w:cs="Garamond Premr Pro"/>
      <w:color w:val="000000"/>
      <w:spacing w:val="4"/>
    </w:rPr>
  </w:style>
  <w:style w:type="paragraph" w:customStyle="1" w:styleId="podtytul1">
    <w:name w:val="podtytul_1"/>
    <w:basedOn w:val="Normalny"/>
    <w:uiPriority w:val="99"/>
    <w:rsid w:val="005C718E"/>
    <w:pPr>
      <w:suppressAutoHyphens/>
      <w:autoSpaceDE w:val="0"/>
      <w:autoSpaceDN w:val="0"/>
      <w:adjustRightInd w:val="0"/>
      <w:spacing w:before="454" w:after="227" w:line="280" w:lineRule="atLeast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mtytul">
    <w:name w:val="m_tytul"/>
    <w:basedOn w:val="Normalny"/>
    <w:uiPriority w:val="99"/>
    <w:rsid w:val="005C718E"/>
    <w:pPr>
      <w:suppressAutoHyphens/>
      <w:autoSpaceDE w:val="0"/>
      <w:autoSpaceDN w:val="0"/>
      <w:adjustRightInd w:val="0"/>
      <w:spacing w:after="1134" w:line="360" w:lineRule="atLeast"/>
      <w:jc w:val="center"/>
      <w:textAlignment w:val="center"/>
    </w:pPr>
    <w:rPr>
      <w:rFonts w:ascii="Zurich Cn L2" w:hAnsi="Zurich Cn L2" w:cs="Zurich Cn L2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2019-12-22T15:01:00Z</dcterms:created>
  <dcterms:modified xsi:type="dcterms:W3CDTF">2019-12-22T15:05:00Z</dcterms:modified>
</cp:coreProperties>
</file>